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29" w:rsidRDefault="00E36402">
      <w:pPr>
        <w:spacing w:beforeLines="80" w:before="463" w:line="0" w:lineRule="atLeast"/>
        <w:jc w:val="center"/>
        <w:rPr>
          <w:rFonts w:ascii="华文中宋" w:eastAsia="华文中宋" w:hAnsi="华文中宋"/>
          <w:snapToGrid w:val="0"/>
          <w:color w:val="FF3300"/>
          <w:spacing w:val="20"/>
          <w:kern w:val="0"/>
          <w:sz w:val="100"/>
          <w:szCs w:val="100"/>
        </w:rPr>
      </w:pPr>
      <w:bookmarkStart w:id="0" w:name="文件红头"/>
      <w:bookmarkStart w:id="1" w:name="_GoBack"/>
      <w:bookmarkEnd w:id="1"/>
      <w:r>
        <w:rPr>
          <w:rFonts w:ascii="华文中宋" w:eastAsia="华文中宋" w:hAnsi="华文中宋" w:hint="eastAsia"/>
          <w:snapToGrid w:val="0"/>
          <w:color w:val="FF3300"/>
          <w:spacing w:val="20"/>
          <w:kern w:val="0"/>
          <w:sz w:val="100"/>
          <w:szCs w:val="100"/>
        </w:rPr>
        <w:t>南  京  大  学</w:t>
      </w:r>
    </w:p>
    <w:p w:rsidR="000A3A29" w:rsidRDefault="00E36402">
      <w:pPr>
        <w:tabs>
          <w:tab w:val="left" w:pos="4860"/>
          <w:tab w:val="left" w:pos="5363"/>
        </w:tabs>
        <w:autoSpaceDE w:val="0"/>
        <w:autoSpaceDN w:val="0"/>
        <w:adjustRightInd w:val="0"/>
        <w:spacing w:beforeLines="100" w:before="579"/>
        <w:jc w:val="center"/>
        <w:rPr>
          <w:rFonts w:ascii="仿宋" w:eastAsia="仿宋" w:hAnsi="仿宋"/>
          <w:color w:val="FF3300"/>
        </w:rPr>
      </w:pPr>
      <w:bookmarkStart w:id="2" w:name="文件编号"/>
      <w:bookmarkEnd w:id="0"/>
      <w:r>
        <w:rPr>
          <w:rFonts w:ascii="仿宋" w:eastAsia="仿宋" w:hAnsi="仿宋" w:hint="eastAsia"/>
          <w:color w:val="000000"/>
          <w:kern w:val="0"/>
          <w:szCs w:val="28"/>
        </w:rPr>
        <w:t>南字发〔</w:t>
      </w:r>
      <w:r>
        <w:rPr>
          <w:rFonts w:ascii="仿宋" w:eastAsia="仿宋" w:hAnsi="仿宋"/>
          <w:color w:val="000000"/>
          <w:kern w:val="0"/>
          <w:szCs w:val="28"/>
        </w:rPr>
        <w:t>2019〕180号</w:t>
      </w:r>
      <w:bookmarkEnd w:id="2"/>
    </w:p>
    <w:p w:rsidR="000A3A29" w:rsidRDefault="008A2D77">
      <w:pPr>
        <w:jc w:val="center"/>
        <w:rPr>
          <w:rFonts w:eastAsia="长城小标宋体"/>
        </w:rPr>
      </w:pPr>
      <w:r>
        <w:rPr>
          <w:rFonts w:eastAsia="长城小标宋体"/>
          <w:sz w:val="20"/>
        </w:rPr>
        <w:pict>
          <v:line id="_x0000_s1037" style="position:absolute;left:0;text-align:left;flip:y;z-index:1;mso-width-relative:page;mso-height-relative:page" from=".9pt,10.9pt" to="414.9pt,10.9pt" strokecolor="red" strokeweight="2.5pt"/>
        </w:pict>
      </w:r>
    </w:p>
    <w:p w:rsidR="000A3A29" w:rsidRDefault="000A3A29">
      <w:pPr>
        <w:autoSpaceDE w:val="0"/>
        <w:autoSpaceDN w:val="0"/>
        <w:adjustRightInd w:val="0"/>
        <w:snapToGrid w:val="0"/>
        <w:spacing w:line="520" w:lineRule="exact"/>
        <w:rPr>
          <w:rFonts w:ascii="华文中宋" w:eastAsia="华文中宋" w:hAnsi="华文中宋" w:cs="宋体"/>
          <w:b/>
          <w:color w:val="000000"/>
          <w:kern w:val="0"/>
          <w:sz w:val="44"/>
          <w:szCs w:val="44"/>
        </w:rPr>
      </w:pPr>
    </w:p>
    <w:p w:rsidR="000A3A29" w:rsidRDefault="00E36402">
      <w:pPr>
        <w:autoSpaceDE w:val="0"/>
        <w:autoSpaceDN w:val="0"/>
        <w:adjustRightInd w:val="0"/>
        <w:snapToGrid w:val="0"/>
        <w:spacing w:line="600" w:lineRule="exact"/>
        <w:jc w:val="center"/>
        <w:rPr>
          <w:rFonts w:ascii="方正小标宋简体" w:eastAsia="方正小标宋简体" w:hAnsi="宋体" w:cs="宋体"/>
          <w:color w:val="000000"/>
          <w:kern w:val="0"/>
          <w:sz w:val="44"/>
          <w:szCs w:val="44"/>
        </w:rPr>
      </w:pPr>
      <w:bookmarkStart w:id="3" w:name="文件标题"/>
      <w:r>
        <w:rPr>
          <w:rFonts w:ascii="方正小标宋简体" w:eastAsia="方正小标宋简体" w:hAnsi="宋体" w:cs="宋体" w:hint="eastAsia"/>
          <w:color w:val="000000"/>
          <w:kern w:val="0"/>
          <w:sz w:val="44"/>
          <w:szCs w:val="44"/>
        </w:rPr>
        <w:t>关于印发《南京大学</w:t>
      </w:r>
    </w:p>
    <w:p w:rsidR="000A3A29" w:rsidRDefault="00E36402">
      <w:pPr>
        <w:autoSpaceDE w:val="0"/>
        <w:autoSpaceDN w:val="0"/>
        <w:adjustRightInd w:val="0"/>
        <w:snapToGrid w:val="0"/>
        <w:spacing w:line="600" w:lineRule="exact"/>
        <w:jc w:val="center"/>
        <w:rPr>
          <w:rFonts w:ascii="方正小标宋简体" w:eastAsia="方正小标宋简体"/>
          <w:szCs w:val="32"/>
        </w:rPr>
      </w:pPr>
      <w:r>
        <w:rPr>
          <w:rFonts w:ascii="方正小标宋简体" w:eastAsia="方正小标宋简体" w:hAnsi="宋体" w:cs="宋体" w:hint="eastAsia"/>
          <w:color w:val="000000"/>
          <w:kern w:val="0"/>
          <w:sz w:val="44"/>
          <w:szCs w:val="44"/>
        </w:rPr>
        <w:t>教职工年度考核办法》的通知</w:t>
      </w:r>
      <w:bookmarkEnd w:id="3"/>
    </w:p>
    <w:p w:rsidR="000A3A29" w:rsidRDefault="000A3A29">
      <w:pPr>
        <w:spacing w:line="520" w:lineRule="exact"/>
        <w:jc w:val="center"/>
        <w:rPr>
          <w:rFonts w:ascii="仿宋" w:eastAsia="仿宋" w:hAnsi="仿宋"/>
          <w:b/>
          <w:bCs/>
          <w:sz w:val="28"/>
          <w:szCs w:val="28"/>
        </w:rPr>
      </w:pPr>
      <w:bookmarkStart w:id="4" w:name="_Toc18574213"/>
    </w:p>
    <w:p w:rsidR="000A3A29" w:rsidRDefault="00E36402">
      <w:pPr>
        <w:spacing w:line="520" w:lineRule="exact"/>
        <w:rPr>
          <w:rFonts w:ascii="仿宋" w:eastAsia="仿宋" w:hAnsi="仿宋"/>
          <w:szCs w:val="32"/>
        </w:rPr>
      </w:pPr>
      <w:r>
        <w:rPr>
          <w:rFonts w:ascii="仿宋" w:eastAsia="仿宋" w:hAnsi="仿宋" w:hint="eastAsia"/>
          <w:szCs w:val="32"/>
        </w:rPr>
        <w:t>各院系、各单位：</w:t>
      </w:r>
    </w:p>
    <w:p w:rsidR="000A3A29" w:rsidRDefault="00E36402">
      <w:pPr>
        <w:spacing w:line="520" w:lineRule="exact"/>
        <w:ind w:firstLineChars="200" w:firstLine="632"/>
        <w:rPr>
          <w:rFonts w:ascii="仿宋" w:eastAsia="仿宋" w:hAnsi="仿宋"/>
          <w:szCs w:val="32"/>
        </w:rPr>
      </w:pPr>
      <w:r>
        <w:rPr>
          <w:rFonts w:ascii="仿宋" w:eastAsia="仿宋" w:hAnsi="仿宋" w:hint="eastAsia"/>
          <w:szCs w:val="32"/>
        </w:rPr>
        <w:t>为正确评价教职工的德才表现和工作实绩，激励督促教职工提高政治业务素质，认真履行职责，并为其晋升、续聘、奖惩、培训、解聘以及待遇调整提供依据，根据《事业单位人事管理条例》、《江苏省事业单位工作人员考核实施办法》，结合学校实际，特制定《南京大学教职工年度考核办法》，现印发给你们，请遵照执行。</w:t>
      </w:r>
    </w:p>
    <w:p w:rsidR="000A3A29" w:rsidRDefault="00E36402">
      <w:pPr>
        <w:spacing w:line="520" w:lineRule="exact"/>
        <w:ind w:firstLineChars="200" w:firstLine="632"/>
        <w:rPr>
          <w:rFonts w:ascii="仿宋" w:eastAsia="仿宋" w:hAnsi="仿宋"/>
          <w:szCs w:val="32"/>
        </w:rPr>
      </w:pPr>
      <w:r>
        <w:rPr>
          <w:rFonts w:ascii="仿宋" w:eastAsia="仿宋" w:hAnsi="仿宋" w:hint="eastAsia"/>
          <w:szCs w:val="32"/>
        </w:rPr>
        <w:t>特此通知。</w:t>
      </w:r>
    </w:p>
    <w:p w:rsidR="000A3A29" w:rsidRDefault="000A3A29">
      <w:pPr>
        <w:spacing w:line="520" w:lineRule="exact"/>
        <w:ind w:firstLineChars="200" w:firstLine="632"/>
        <w:rPr>
          <w:rFonts w:ascii="仿宋" w:eastAsia="仿宋" w:hAnsi="仿宋"/>
          <w:szCs w:val="32"/>
        </w:rPr>
      </w:pPr>
    </w:p>
    <w:p w:rsidR="000A3A29" w:rsidRDefault="00E36402">
      <w:pPr>
        <w:spacing w:line="520" w:lineRule="exact"/>
        <w:ind w:firstLineChars="200" w:firstLine="632"/>
        <w:rPr>
          <w:rFonts w:ascii="仿宋" w:eastAsia="仿宋" w:hAnsi="仿宋"/>
          <w:szCs w:val="32"/>
        </w:rPr>
      </w:pPr>
      <w:r>
        <w:rPr>
          <w:rFonts w:ascii="仿宋" w:eastAsia="仿宋" w:hAnsi="仿宋" w:hint="eastAsia"/>
          <w:szCs w:val="32"/>
        </w:rPr>
        <w:t>附件：南京大学教职工年度考核办法</w:t>
      </w:r>
    </w:p>
    <w:p w:rsidR="000A3A29" w:rsidRDefault="000A3A29">
      <w:pPr>
        <w:spacing w:line="460" w:lineRule="exact"/>
        <w:ind w:firstLineChars="200" w:firstLine="632"/>
        <w:rPr>
          <w:rFonts w:ascii="仿宋" w:eastAsia="仿宋" w:hAnsi="仿宋"/>
          <w:szCs w:val="32"/>
        </w:rPr>
      </w:pPr>
    </w:p>
    <w:p w:rsidR="000A3A29" w:rsidRDefault="000A3A29">
      <w:pPr>
        <w:spacing w:line="460" w:lineRule="exact"/>
        <w:ind w:firstLineChars="200" w:firstLine="632"/>
        <w:rPr>
          <w:rFonts w:ascii="仿宋" w:eastAsia="仿宋" w:hAnsi="仿宋"/>
          <w:szCs w:val="32"/>
        </w:rPr>
      </w:pPr>
    </w:p>
    <w:p w:rsidR="000A3A29" w:rsidRDefault="00E36402">
      <w:pPr>
        <w:autoSpaceDE w:val="0"/>
        <w:autoSpaceDN w:val="0"/>
        <w:adjustRightInd w:val="0"/>
        <w:snapToGrid w:val="0"/>
        <w:spacing w:line="520" w:lineRule="exact"/>
        <w:rPr>
          <w:rFonts w:ascii="仿宋" w:eastAsia="仿宋" w:hAnsi="仿宋" w:cs="仿宋_GB2312"/>
          <w:color w:val="000000"/>
          <w:kern w:val="0"/>
          <w:szCs w:val="32"/>
        </w:rPr>
      </w:pPr>
      <w:r>
        <w:rPr>
          <w:rFonts w:ascii="仿宋" w:eastAsia="仿宋" w:hAnsi="仿宋" w:cs="仿宋_GB2312" w:hint="eastAsia"/>
          <w:color w:val="000000"/>
          <w:kern w:val="0"/>
          <w:szCs w:val="32"/>
        </w:rPr>
        <w:t xml:space="preserve">                                   </w:t>
      </w:r>
      <w:r>
        <w:rPr>
          <w:rFonts w:ascii="仿宋" w:eastAsia="仿宋" w:hAnsi="仿宋" w:hint="eastAsia"/>
          <w:szCs w:val="32"/>
        </w:rPr>
        <w:t>南京</w:t>
      </w:r>
      <w:r>
        <w:rPr>
          <w:rFonts w:ascii="仿宋" w:eastAsia="仿宋" w:hAnsi="仿宋"/>
          <w:szCs w:val="32"/>
        </w:rPr>
        <w:t>大学</w:t>
      </w:r>
    </w:p>
    <w:p w:rsidR="000A3A29" w:rsidRDefault="00E36402">
      <w:pPr>
        <w:autoSpaceDE w:val="0"/>
        <w:autoSpaceDN w:val="0"/>
        <w:adjustRightInd w:val="0"/>
        <w:spacing w:line="520" w:lineRule="exact"/>
        <w:rPr>
          <w:rFonts w:ascii="仿宋" w:eastAsia="仿宋" w:hAnsi="仿宋" w:cs="仿宋_GB2312"/>
          <w:color w:val="000000"/>
          <w:kern w:val="0"/>
          <w:szCs w:val="32"/>
        </w:rPr>
      </w:pPr>
      <w:r>
        <w:rPr>
          <w:rFonts w:ascii="仿宋" w:eastAsia="仿宋" w:hAnsi="仿宋" w:cs="仿宋_GB2312" w:hint="eastAsia"/>
          <w:color w:val="000000"/>
          <w:kern w:val="0"/>
          <w:szCs w:val="32"/>
        </w:rPr>
        <w:t xml:space="preserve">　　　　　　　　　　　　　　　   </w:t>
      </w:r>
      <w:bookmarkStart w:id="5" w:name="签发日期"/>
      <w:r>
        <w:rPr>
          <w:rFonts w:ascii="仿宋" w:eastAsia="仿宋" w:hAnsi="仿宋" w:cs="仿宋_GB2312" w:hint="eastAsia"/>
          <w:color w:val="000000"/>
          <w:kern w:val="0"/>
          <w:szCs w:val="32"/>
        </w:rPr>
        <w:t>2019年9月23日</w:t>
      </w:r>
      <w:bookmarkEnd w:id="5"/>
    </w:p>
    <w:p w:rsidR="000A3A29" w:rsidRDefault="00E36402">
      <w:pPr>
        <w:widowControl/>
        <w:jc w:val="left"/>
        <w:rPr>
          <w:rFonts w:ascii="黑体" w:eastAsia="黑体" w:hAnsi="黑体"/>
          <w:szCs w:val="32"/>
        </w:rPr>
      </w:pPr>
      <w:r>
        <w:rPr>
          <w:rFonts w:ascii="黑体" w:eastAsia="黑体" w:hAnsi="黑体"/>
          <w:sz w:val="28"/>
          <w:szCs w:val="28"/>
        </w:rPr>
        <w:br w:type="page"/>
      </w:r>
      <w:r>
        <w:rPr>
          <w:rFonts w:ascii="黑体" w:eastAsia="黑体" w:hAnsi="黑体" w:hint="eastAsia"/>
          <w:szCs w:val="32"/>
        </w:rPr>
        <w:lastRenderedPageBreak/>
        <w:t>附件</w:t>
      </w:r>
    </w:p>
    <w:p w:rsidR="000A3A29" w:rsidRDefault="00E36402">
      <w:pPr>
        <w:spacing w:line="520" w:lineRule="exact"/>
        <w:jc w:val="center"/>
        <w:rPr>
          <w:rFonts w:ascii="方正小标宋简体"/>
          <w:sz w:val="44"/>
        </w:rPr>
      </w:pPr>
      <w:r>
        <w:rPr>
          <w:rFonts w:ascii="方正小标宋简体" w:eastAsia="方正小标宋简体" w:hint="eastAsia"/>
          <w:sz w:val="44"/>
          <w:szCs w:val="44"/>
        </w:rPr>
        <w:t>南京大学教职工年度考核办法</w:t>
      </w:r>
      <w:bookmarkEnd w:id="4"/>
    </w:p>
    <w:p w:rsidR="000A3A29" w:rsidRDefault="000A3A29">
      <w:pPr>
        <w:spacing w:line="520" w:lineRule="exact"/>
        <w:rPr>
          <w:rFonts w:ascii="黑体" w:eastAsia="黑体" w:hAnsi="黑体" w:cs="华文仿宋"/>
          <w:szCs w:val="32"/>
        </w:rPr>
      </w:pP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一、总则</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为正确评价教职工的德才表现和工作实绩，激励督促教职工提高政治业务素质，认真履行职责，并为其晋升、续聘、奖惩、培训、解聘以及待遇调整提供依据，根据《事业单位人事管理条例》、《江苏省事业单位工作人员考核实施办法》，结合学校实际，制定本办法。</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教职工年度考核工作坚持客观公正、民主公开的原则，注重德才表现和工作实绩。</w:t>
      </w: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二、考核范围和对象</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hint="eastAsia"/>
          <w:sz w:val="32"/>
          <w:szCs w:val="32"/>
        </w:rPr>
        <w:t>考核范围包括</w:t>
      </w:r>
      <w:r>
        <w:rPr>
          <w:rFonts w:ascii="仿宋" w:eastAsia="仿宋" w:hAnsi="仿宋" w:cs="华文仿宋" w:hint="eastAsia"/>
          <w:sz w:val="32"/>
          <w:szCs w:val="32"/>
        </w:rPr>
        <w:t>学校事业编制的在职教职工、与学校建立劳动关系的全职非事业编制教职工、统招博士后。</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学校党政领导班子成员由教育部考核。中层领导干部由校组织部考核，办法另行制定。其他人员由校人力资源处考核，按本办法执行。</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有下列情况之一的人员不参加本年度考核：</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（一）非单位公派，但经单位同意离职学习超过半年的；</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（二）当年因病（公伤除外）、事假累计超过半年的；</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（三）经学校批准的其它特殊情况。</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有下列情况之一的，按照以下规定执行：</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（一）在试用期、见习期的人员，年度考核只写评语，不定等级，考核情况作为转正、定级的依据；其余新补充人员于</w:t>
      </w:r>
      <w:r>
        <w:rPr>
          <w:rFonts w:ascii="仿宋" w:eastAsia="仿宋" w:hAnsi="仿宋" w:cs="华文仿宋"/>
          <w:sz w:val="32"/>
          <w:szCs w:val="32"/>
        </w:rPr>
        <w:t>10</w:t>
      </w:r>
      <w:r>
        <w:rPr>
          <w:rFonts w:ascii="仿宋" w:eastAsia="仿宋" w:hAnsi="仿宋" w:cs="华文仿宋" w:hint="eastAsia"/>
          <w:sz w:val="32"/>
          <w:szCs w:val="32"/>
        </w:rPr>
        <w:t>月</w:t>
      </w:r>
      <w:r>
        <w:rPr>
          <w:rFonts w:ascii="仿宋" w:eastAsia="仿宋" w:hAnsi="仿宋" w:cs="华文仿宋"/>
          <w:sz w:val="32"/>
          <w:szCs w:val="32"/>
        </w:rPr>
        <w:t>1</w:t>
      </w:r>
      <w:r>
        <w:rPr>
          <w:rFonts w:ascii="仿宋" w:eastAsia="仿宋" w:hAnsi="仿宋" w:cs="华文仿宋" w:hint="eastAsia"/>
          <w:sz w:val="32"/>
          <w:szCs w:val="32"/>
        </w:rPr>
        <w:t>日前来校报到者，参加当年的年度考核、确定考核等级；</w:t>
      </w:r>
      <w:r>
        <w:rPr>
          <w:rFonts w:ascii="仿宋" w:eastAsia="仿宋" w:hAnsi="仿宋" w:cs="华文仿宋"/>
          <w:sz w:val="32"/>
          <w:szCs w:val="32"/>
        </w:rPr>
        <w:t>10</w:t>
      </w:r>
      <w:r>
        <w:rPr>
          <w:rFonts w:ascii="仿宋" w:eastAsia="仿宋" w:hAnsi="仿宋" w:cs="华文仿宋" w:hint="eastAsia"/>
          <w:sz w:val="32"/>
          <w:szCs w:val="32"/>
        </w:rPr>
        <w:t>月</w:t>
      </w:r>
      <w:r>
        <w:rPr>
          <w:rFonts w:ascii="仿宋" w:eastAsia="仿宋" w:hAnsi="仿宋" w:cs="华文仿宋"/>
          <w:sz w:val="32"/>
          <w:szCs w:val="32"/>
        </w:rPr>
        <w:t>1</w:t>
      </w:r>
      <w:r>
        <w:rPr>
          <w:rFonts w:ascii="仿宋" w:eastAsia="仿宋" w:hAnsi="仿宋" w:cs="华文仿宋" w:hint="eastAsia"/>
          <w:sz w:val="32"/>
          <w:szCs w:val="32"/>
        </w:rPr>
        <w:t>日后来校报到者，参加当年的年度考核、不</w:t>
      </w:r>
      <w:r>
        <w:rPr>
          <w:rFonts w:ascii="仿宋" w:eastAsia="仿宋" w:hAnsi="仿宋" w:cs="华文仿宋" w:hint="eastAsia"/>
          <w:sz w:val="32"/>
          <w:szCs w:val="32"/>
        </w:rPr>
        <w:lastRenderedPageBreak/>
        <w:t>定等级。</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（二）工作时间超过半年的退休人员参加当年的年度考核。</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（三）经学校同意挂职、到其他单位借用的人员，在挂职、借用期间由其所在的挂职、借用单位提供工作表现鉴定，学校进行考核和确定等级。</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（四）军队转业干部、退伍军人，由学校进行考核，结合其转业、退伍时的鉴定确定等级，无大问题者，一般当年定为合格等级。</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（五）单位公派学习、培训超过半年的人员，仍由学校进行考核，确定等级。</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（六）援教人员，由学校进行考核，确定等级，其援教工作的情况，由所在援教单位提供。</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由司法机关立案侦查的人员，违反党纪、政纪、校纪被立案审查的人员，受党纪处分和行政处分的人员按有关规定办理。</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经组织批准的待聘人员，参加年度考核，无大问题者，一般确定为合格等级。</w:t>
      </w:r>
    </w:p>
    <w:p w:rsidR="000A3A29" w:rsidRDefault="00E36402">
      <w:pPr>
        <w:pStyle w:val="a8"/>
        <w:widowControl w:val="0"/>
        <w:numPr>
          <w:ilvl w:val="0"/>
          <w:numId w:val="1"/>
        </w:numPr>
        <w:tabs>
          <w:tab w:val="left" w:pos="1560"/>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凡未按考核规定参加本年度考核的人员，不得计算考核年资。</w:t>
      </w: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三、考核内容和标准</w:t>
      </w:r>
    </w:p>
    <w:p w:rsidR="000A3A29" w:rsidRDefault="00E36402">
      <w:pPr>
        <w:pStyle w:val="a8"/>
        <w:widowControl w:val="0"/>
        <w:numPr>
          <w:ilvl w:val="0"/>
          <w:numId w:val="1"/>
        </w:numPr>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考核内容包括德、能、勤、绩等四个方面。</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德：主要考核师德师风情况，具体包括思想政治素质、职业道德、公共服务意识和遵纪守法情况。</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能：主要考核学术（技术）、业务水平和工作能力。</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勤：主要考核工作态度、勤奋敬业精神和遵守劳动纪律</w:t>
      </w:r>
      <w:r>
        <w:rPr>
          <w:rFonts w:ascii="仿宋" w:eastAsia="仿宋" w:hAnsi="仿宋" w:cs="华文仿宋" w:hint="eastAsia"/>
          <w:szCs w:val="32"/>
        </w:rPr>
        <w:lastRenderedPageBreak/>
        <w:t>情况。</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绩：主要考核履行岗位职责情况，完成工作的数量、质量和效率，取得成果的水平及其社会效益和经济效益，服务对象的满意程度。</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cs="华文仿宋" w:hint="eastAsia"/>
          <w:sz w:val="32"/>
          <w:szCs w:val="32"/>
        </w:rPr>
        <w:t>教职工</w:t>
      </w:r>
      <w:r>
        <w:rPr>
          <w:rFonts w:ascii="仿宋" w:eastAsia="仿宋" w:hAnsi="仿宋" w:hint="eastAsia"/>
          <w:sz w:val="32"/>
          <w:szCs w:val="32"/>
        </w:rPr>
        <w:t>的考核根据教书育人、管理育人、服务育人的基本要求和政治思想、职业道德等基本条件，结合各类人员的特点，确定相应的考核重点：</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hint="eastAsia"/>
          <w:sz w:val="32"/>
          <w:szCs w:val="32"/>
        </w:rPr>
        <w:t>（一）教学科研人员的考核重点是：师德师风、为人师表、教书育人、实际承担及完成岗位任务、在教学科研中的成果、成效等情况。</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hint="eastAsia"/>
          <w:sz w:val="32"/>
          <w:szCs w:val="32"/>
        </w:rPr>
        <w:t>（二）其他专业技术人员的考核重点是：服务于教学科研的态度、业务技术水平、履行岗位职责情况。</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hint="eastAsia"/>
          <w:sz w:val="32"/>
          <w:szCs w:val="32"/>
        </w:rPr>
        <w:t>（三）党政管理人员的考核重点是：政策水平、工作能力、工作态度、工作作风、协作精神、工作实绩和廉洁自律等情况。</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hint="eastAsia"/>
          <w:sz w:val="32"/>
          <w:szCs w:val="32"/>
        </w:rPr>
        <w:t>（四）工人考核重点是：服务态度、操作技能、安全生产、工作数量、工作质量和完成任务等情况。</w:t>
      </w:r>
    </w:p>
    <w:p w:rsidR="000A3A29" w:rsidRDefault="00E36402">
      <w:pPr>
        <w:pStyle w:val="a8"/>
        <w:widowControl w:val="0"/>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hint="eastAsia"/>
          <w:sz w:val="32"/>
          <w:szCs w:val="32"/>
        </w:rPr>
        <w:t>（五）对兼任多种职务的人员，应考核其履行主要岗位职责情况，并兼顾其承担的其他工作。</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教职工年度考核等次分为优秀、合格、基本合格、不合格四个等次。</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hint="eastAsia"/>
          <w:sz w:val="32"/>
          <w:szCs w:val="32"/>
        </w:rPr>
        <w:t>管理人员年度考核各等级的基本标准</w:t>
      </w:r>
      <w:r>
        <w:rPr>
          <w:rFonts w:ascii="仿宋" w:eastAsia="仿宋" w:hAnsi="仿宋" w:cs="华文仿宋" w:hint="eastAsia"/>
          <w:sz w:val="32"/>
          <w:szCs w:val="32"/>
        </w:rPr>
        <w:t>：</w:t>
      </w:r>
    </w:p>
    <w:p w:rsidR="000A3A29" w:rsidRDefault="00E36402">
      <w:pPr>
        <w:spacing w:line="520" w:lineRule="exact"/>
        <w:ind w:firstLineChars="200" w:firstLine="632"/>
        <w:rPr>
          <w:rFonts w:ascii="仿宋" w:eastAsia="仿宋" w:hAnsi="仿宋" w:cs="华文仿宋"/>
          <w:szCs w:val="32"/>
        </w:rPr>
      </w:pPr>
      <w:r>
        <w:rPr>
          <w:rFonts w:ascii="仿宋" w:eastAsia="仿宋" w:hAnsi="仿宋" w:hint="eastAsia"/>
          <w:szCs w:val="32"/>
        </w:rPr>
        <w:t>（一）优秀：正确贯彻执行党的路线、方针、政策，模范遵守国家的法律、法规和</w:t>
      </w:r>
      <w:r>
        <w:rPr>
          <w:rFonts w:ascii="仿宋" w:eastAsia="仿宋" w:hAnsi="仿宋" w:cs="华文仿宋" w:hint="eastAsia"/>
          <w:szCs w:val="32"/>
        </w:rPr>
        <w:t>各项规章制度，廉洁奉公，精通业务，工作勤奋，有改革创新精神，出色地履行岗位职责，工作成绩突出，服务对象满意度高。</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lastRenderedPageBreak/>
        <w:t>（二）合格：正确贯彻执行党的路线、方针、政策，自觉遵守国家的法律、法规和各项规章制度，廉洁自律，管理业务熟练，工作积极，较好地履行岗位职责，完成工作任务，服务对象较为满意。</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（三）基本合格：正确贯彻执行党的路线、方针、政策，遵守国家的法律、法规和各项规章制度，管理业务素质一般，未完全履行岗位职业，基本完成工作任务，在工作中存在一定失误，服务对象满意度一般。</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（四）不合格：业务</w:t>
      </w:r>
      <w:r>
        <w:rPr>
          <w:rFonts w:ascii="仿宋" w:eastAsia="仿宋" w:hAnsi="仿宋" w:hint="eastAsia"/>
          <w:szCs w:val="32"/>
        </w:rPr>
        <w:t>素质较低，组织纪律较差，难以适应工作要求，或工作责任心不强，履行岗位职责差，不能完成工作任务，存在违纪违法情况且</w:t>
      </w:r>
      <w:r>
        <w:rPr>
          <w:rFonts w:ascii="仿宋" w:eastAsia="仿宋" w:hAnsi="仿宋"/>
          <w:szCs w:val="32"/>
        </w:rPr>
        <w:t>影响恶劣的</w:t>
      </w:r>
      <w:r>
        <w:rPr>
          <w:rFonts w:ascii="仿宋" w:eastAsia="仿宋" w:hAnsi="仿宋" w:hint="eastAsia"/>
          <w:szCs w:val="32"/>
        </w:rPr>
        <w:t>，在工作中存在严重失误，服务对象不满意。</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hint="eastAsia"/>
          <w:sz w:val="32"/>
          <w:szCs w:val="32"/>
        </w:rPr>
        <w:t>专业技术人员年度考核各等级的基本标准</w:t>
      </w:r>
      <w:r>
        <w:rPr>
          <w:rFonts w:ascii="仿宋" w:eastAsia="仿宋" w:hAnsi="仿宋" w:cs="华文仿宋" w:hint="eastAsia"/>
          <w:sz w:val="32"/>
          <w:szCs w:val="32"/>
        </w:rPr>
        <w:t>：</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一）优秀：拥护党的路线、方针、政策，模范遵守国家的法律、法规和各项规章制度，职业道德好，工作责任心强，勤奋敬业，专业技术能力强、水平高或提升快，工作有创新，出色地履行岗位职责，在专业技术岗位工作中成绩突出，服务对象满意度高。</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二）合格：拥护党的路线、方针、政策，自觉遵守国家的法律、法规及各项规章制度，有较好的职业道德，工作负责，业务熟练，专业技术能力较强或提高较快，能够履行岗位职责，完成工作任务，无责任事故，服务对象较为满意。</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三）基本合格：拥护党的路线、方针、政策，遵守国家法律、法规及各项规章制度，业务素质和职业道德表现一般，专业技术能力一般，基本完成工作任务，未完全履行岗位职责，在工作中存在一定失误，服务对象满意度一般。</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lastRenderedPageBreak/>
        <w:t>（四）不合格：业务素质低，组织纪律较差，工作责任心不强，专业技术能力低，难以适应工作要求，不能履行岗位职责，不能完成工作任务，存在违纪违法情况</w:t>
      </w:r>
      <w:r>
        <w:rPr>
          <w:rFonts w:ascii="仿宋" w:eastAsia="仿宋" w:hAnsi="仿宋" w:hint="eastAsia"/>
          <w:szCs w:val="32"/>
        </w:rPr>
        <w:t>且</w:t>
      </w:r>
      <w:r>
        <w:rPr>
          <w:rFonts w:ascii="仿宋" w:eastAsia="仿宋" w:hAnsi="仿宋"/>
          <w:szCs w:val="32"/>
        </w:rPr>
        <w:t>影响恶劣的</w:t>
      </w:r>
      <w:r>
        <w:rPr>
          <w:rFonts w:ascii="仿宋" w:eastAsia="仿宋" w:hAnsi="仿宋" w:cs="华文仿宋" w:hint="eastAsia"/>
          <w:szCs w:val="32"/>
        </w:rPr>
        <w:t>，在工作中存在严重失误或造成责任事故，服务对象不满意。</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工勤技能人员年度考核各等级的基本标准：</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（一）优秀：政治思想表现好，模范遵守法律、纪律和各项规章制度，精通业务，工作勤奋，责任心强，确保劳动安全，工勤技能能力强、水平高，出色地履行岗位职责，工作成绩突出，服务对象满意度高。</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（二）合格：政治思想表现好，自觉遵守法律、纪律和各项规章制度，熟悉业务，工作积极，无责任事故，注重劳动安全，工勤技能水平较高，能够履行岗位职责，完成工作任务，服务对象较为满意。</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（三）基本合格：政治思想表现一般，工勤技能能力水平一般，未完全履行岗位职责，基本完成工作任务，忽视劳动安全，出现事故苗头或发生轻微事故，服务对象满意度一般。</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四）不合格：组织纪律较差，工勤技能能力水平差，难以适应工作要求，不能履行岗位职责，不能完成工作任务，工作责任心不强，忽视劳动安全、违反工作和操作规程，在工作中存在严重失误或发生严重责任事故，存在违纪违法情况</w:t>
      </w:r>
      <w:r>
        <w:rPr>
          <w:rFonts w:ascii="仿宋" w:eastAsia="仿宋" w:hAnsi="仿宋" w:hint="eastAsia"/>
          <w:szCs w:val="32"/>
        </w:rPr>
        <w:t>且</w:t>
      </w:r>
      <w:r>
        <w:rPr>
          <w:rFonts w:ascii="仿宋" w:eastAsia="仿宋" w:hAnsi="仿宋"/>
          <w:szCs w:val="32"/>
        </w:rPr>
        <w:t>影响恶劣的</w:t>
      </w:r>
      <w:r>
        <w:rPr>
          <w:rFonts w:ascii="仿宋" w:eastAsia="仿宋" w:hAnsi="仿宋" w:cs="华文仿宋" w:hint="eastAsia"/>
          <w:szCs w:val="32"/>
        </w:rPr>
        <w:t>，服务对象不满意。</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凡全年病、事假超过一个月的工作人员不得定为优秀等次。</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具有下列情形之一者，可定为不合格等次：</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lastRenderedPageBreak/>
        <w:t>（一）全年旷工</w:t>
      </w:r>
      <w:r>
        <w:rPr>
          <w:rFonts w:ascii="仿宋" w:eastAsia="仿宋" w:hAnsi="仿宋" w:cs="华文仿宋"/>
          <w:szCs w:val="32"/>
        </w:rPr>
        <w:t>5</w:t>
      </w:r>
      <w:r>
        <w:rPr>
          <w:rFonts w:ascii="仿宋" w:eastAsia="仿宋" w:hAnsi="仿宋" w:cs="华文仿宋" w:hint="eastAsia"/>
          <w:szCs w:val="32"/>
        </w:rPr>
        <w:t>天以上，或工作纪律涣散，消极怠工，造成较坏影响，经教育不改者；</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（二）缺乏履行岗位职责的能力，不能胜任本职工作，或不服从组织分配，不认真履行岗位职责，经批评教育仍不改者；</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（三）玩忽职守，造成重大损失或人身伤亡事故者；</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（四）寻衅闹事，吵架斗殴，无理取闹，严重影响工作或社会秩序者；</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（五）无正当理由不参加年度考核，经教育后仍然拒绝参加者；</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（六）其他受党纪或政纪等处分处罚，或其他规定处理，应给予不合格等次的。</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年度考核要严格坚持标准，符合实际，被确定为优秀等次的人数，一般控制在本单位参加考核总人数的</w:t>
      </w:r>
      <w:r>
        <w:rPr>
          <w:rFonts w:ascii="仿宋" w:eastAsia="仿宋" w:hAnsi="仿宋" w:cs="华文仿宋"/>
          <w:sz w:val="32"/>
          <w:szCs w:val="32"/>
        </w:rPr>
        <w:t>13%</w:t>
      </w:r>
      <w:r>
        <w:rPr>
          <w:rFonts w:ascii="仿宋" w:eastAsia="仿宋" w:hAnsi="仿宋" w:cs="华文仿宋" w:hint="eastAsia"/>
          <w:sz w:val="32"/>
          <w:szCs w:val="32"/>
        </w:rPr>
        <w:t>以内。对于单位考核为优秀等级的单位，比例可略有上浮，但不超过</w:t>
      </w:r>
      <w:r>
        <w:rPr>
          <w:rFonts w:ascii="仿宋" w:eastAsia="仿宋" w:hAnsi="仿宋" w:cs="华文仿宋"/>
          <w:sz w:val="32"/>
          <w:szCs w:val="32"/>
        </w:rPr>
        <w:t>15%</w:t>
      </w:r>
      <w:r>
        <w:rPr>
          <w:rFonts w:ascii="仿宋" w:eastAsia="仿宋" w:hAnsi="仿宋" w:cs="华文仿宋" w:hint="eastAsia"/>
          <w:sz w:val="32"/>
          <w:szCs w:val="32"/>
        </w:rPr>
        <w:t>。优秀等次人员，应在不同系列岗位的人员中合理确定。</w:t>
      </w: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四、考核组织</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学校设立考核工作领导小组，负责领导全校的考核工作。考核工作领导小组由分管组织人事的校领导，相关职能部门负责人，以及工会代表组成。</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各党委（单位）应设立考核小组，由院系部门党政负责人、工会代表组成。</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学校考核工作领导小组下设办公室，办公室设在人力资源处。</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学校考核工作领导小组的职责是：</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lastRenderedPageBreak/>
        <w:t>（一）制订考核计划和实施方案；</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（二）负责考核工作的具体组织实施；</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（三）复核教职工对考核结果的申诉。</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各党委考核小组的职责是根据学校考核办法，组织实施本单位的考核工作。各党委（单位）要根据被考核人员的不同类型和专业特点，结合工作实际，细化本单位年度考核的考核标准、量化考核内容与要求。</w:t>
      </w: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五、考核方法和程序</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年度考核要以平时考核为基础。平时考核主要根据被考核人日常表现确定，内容包括：出勤情况；完成工作任务类型、数量和质量等；工作差错和绩效。</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年度考核一般采取个人总结述职、结合部门内部评议、服务对象满意度调查等办法，对教职工一年中德、能、勤、绩等方面进行综合评定。具体程序是：</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（一）个人总结。被考核人应依据岗位职责的要求，从德、能、勤、绩等四个方面做出书面总结，填写《南京大学教职工年度考核登记表》。</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（二）民主测评。在个人总结的基础上，可在一定范围内进行民意测验或民主评议，并形成群众测评意见。</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三）各党委考核小组在个人总结、民主评议的基础上，结合平时考核的情况，提出对被考核人的等级意见，并向学校考核工作领导小组汇报考核情况。无特殊情况的党委年度考核情况可以由人力资源处统一汇报。</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（四）学校考核工作领导小组审定各党委年度考核情况，并确定每个人考核等级。</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（五）拟确定为优秀等次的人员名单在学校范围内进行</w:t>
      </w:r>
      <w:r>
        <w:rPr>
          <w:rFonts w:ascii="仿宋" w:eastAsia="仿宋" w:hAnsi="仿宋" w:cs="华文仿宋" w:hint="eastAsia"/>
          <w:szCs w:val="32"/>
        </w:rPr>
        <w:lastRenderedPageBreak/>
        <w:t>公示，公示时间为</w:t>
      </w:r>
      <w:r>
        <w:rPr>
          <w:rFonts w:ascii="仿宋" w:eastAsia="仿宋" w:hAnsi="仿宋" w:cs="华文仿宋"/>
          <w:szCs w:val="32"/>
        </w:rPr>
        <w:t>7个工作日。</w:t>
      </w:r>
    </w:p>
    <w:p w:rsidR="000A3A29" w:rsidRDefault="00E36402">
      <w:pPr>
        <w:spacing w:line="520" w:lineRule="exact"/>
        <w:ind w:firstLineChars="200" w:firstLine="632"/>
        <w:rPr>
          <w:rFonts w:ascii="仿宋" w:eastAsia="仿宋" w:hAnsi="仿宋" w:cs="华文仿宋"/>
          <w:szCs w:val="32"/>
        </w:rPr>
      </w:pPr>
      <w:r>
        <w:rPr>
          <w:rFonts w:ascii="仿宋" w:eastAsia="仿宋" w:hAnsi="仿宋" w:cs="华文仿宋" w:hint="eastAsia"/>
          <w:szCs w:val="32"/>
        </w:rPr>
        <w:t>（六）学校考核结果反馈至各党委，各党委负责反馈至个人。对被确定为基本合格或不合格等次的，须以书面形式通知被考核人。</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被考核人员对年度考核结果有异议的，可按照中组部、人社部《事业单位工作人员申诉规定》申请复核、申诉。在复核申诉期间不停止对考核结果的执行。</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年度考核工作结束后，考核结果存入本人档案。</w:t>
      </w: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六、考核结果的使用</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考核结果的使用，要与评选先进活动、开展奖励表彰工作紧密结合。</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年度考核被确定为优秀等次的，参加竞聘（晋升）上岗时在同等条件下可予以优先。</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年度考核被确定为合格及以上等次的，按照有关规定相应调整工资待遇。</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年度考核被确定为基本合格、不合格的，工资待遇按有关规定执行，由所在单位进行诫勉谈话或批评教育。年度考核不合格且不同意调整工作岗位的，或者连续两年年度考核不合格的，可提前</w:t>
      </w:r>
      <w:r>
        <w:rPr>
          <w:rFonts w:ascii="仿宋" w:eastAsia="仿宋" w:hAnsi="仿宋" w:cs="华文仿宋"/>
          <w:sz w:val="32"/>
          <w:szCs w:val="32"/>
        </w:rPr>
        <w:t>30</w:t>
      </w:r>
      <w:r>
        <w:rPr>
          <w:rFonts w:ascii="仿宋" w:eastAsia="仿宋" w:hAnsi="仿宋" w:cs="华文仿宋" w:hint="eastAsia"/>
          <w:sz w:val="32"/>
          <w:szCs w:val="32"/>
        </w:rPr>
        <w:t>日书面通知，解除聘用合同。</w:t>
      </w: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七、考核管理与监督</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hint="eastAsia"/>
          <w:sz w:val="32"/>
          <w:szCs w:val="32"/>
        </w:rPr>
        <w:t>各单位要高度重视教职工的考核工作，加强对考核工作的领导。积极解决考核中存在的问题，建立以考核为主要环节的竞争和激励机制。</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sz w:val="32"/>
          <w:szCs w:val="32"/>
        </w:rPr>
      </w:pPr>
      <w:r>
        <w:rPr>
          <w:rFonts w:ascii="仿宋" w:eastAsia="仿宋" w:hAnsi="仿宋" w:hint="eastAsia"/>
          <w:sz w:val="32"/>
          <w:szCs w:val="32"/>
        </w:rPr>
        <w:t>考核工作领导小组和考核小组成员，必须严格执行考核规定和程序，实事求是地进行考核，对违反考核</w:t>
      </w:r>
      <w:r>
        <w:rPr>
          <w:rFonts w:ascii="仿宋" w:eastAsia="仿宋" w:hAnsi="仿宋" w:hint="eastAsia"/>
          <w:sz w:val="32"/>
          <w:szCs w:val="32"/>
        </w:rPr>
        <w:lastRenderedPageBreak/>
        <w:t>规定，在考核中徇私舞弊、打击报复、</w:t>
      </w:r>
      <w:r>
        <w:rPr>
          <w:rFonts w:ascii="仿宋" w:eastAsia="仿宋" w:hAnsi="仿宋" w:cs="华文仿宋" w:hint="eastAsia"/>
          <w:sz w:val="32"/>
          <w:szCs w:val="32"/>
        </w:rPr>
        <w:t>弄虚作假</w:t>
      </w:r>
      <w:r>
        <w:rPr>
          <w:rFonts w:ascii="仿宋" w:eastAsia="仿宋" w:hAnsi="仿宋" w:hint="eastAsia"/>
          <w:sz w:val="32"/>
          <w:szCs w:val="32"/>
        </w:rPr>
        <w:t>的，按有关规定严肃处理。</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kern w:val="2"/>
          <w:sz w:val="32"/>
          <w:szCs w:val="32"/>
        </w:rPr>
        <w:t>学校纪检</w:t>
      </w:r>
      <w:r>
        <w:rPr>
          <w:rFonts w:ascii="仿宋" w:eastAsia="仿宋" w:hAnsi="仿宋" w:cs="华文仿宋" w:hint="eastAsia"/>
          <w:sz w:val="32"/>
          <w:szCs w:val="32"/>
        </w:rPr>
        <w:t>监察</w:t>
      </w:r>
      <w:r>
        <w:rPr>
          <w:rFonts w:ascii="仿宋" w:eastAsia="仿宋" w:hAnsi="仿宋" w:cs="华文仿宋" w:hint="eastAsia"/>
          <w:kern w:val="2"/>
          <w:sz w:val="32"/>
          <w:szCs w:val="32"/>
        </w:rPr>
        <w:t>部门负责监督考核工作。</w:t>
      </w:r>
    </w:p>
    <w:p w:rsidR="000A3A29" w:rsidRDefault="00E36402">
      <w:pPr>
        <w:spacing w:line="520" w:lineRule="exact"/>
        <w:ind w:firstLineChars="200" w:firstLine="632"/>
        <w:rPr>
          <w:rFonts w:ascii="黑体" w:eastAsia="黑体" w:hAnsi="黑体" w:cs="华文仿宋"/>
          <w:szCs w:val="32"/>
        </w:rPr>
      </w:pPr>
      <w:r>
        <w:rPr>
          <w:rFonts w:ascii="黑体" w:eastAsia="黑体" w:hAnsi="黑体" w:cs="华文仿宋" w:hint="eastAsia"/>
          <w:szCs w:val="32"/>
        </w:rPr>
        <w:t>八、附则</w:t>
      </w:r>
    </w:p>
    <w:p w:rsidR="000A3A29"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经劳务派遣公司派遣至南京大学工作的人员参照本办法进行年度考核。</w:t>
      </w:r>
    </w:p>
    <w:p w:rsidR="000A3A29" w:rsidRPr="00946F32" w:rsidRDefault="00E36402">
      <w:pPr>
        <w:pStyle w:val="a8"/>
        <w:widowControl w:val="0"/>
        <w:numPr>
          <w:ilvl w:val="0"/>
          <w:numId w:val="1"/>
        </w:numPr>
        <w:tabs>
          <w:tab w:val="left" w:pos="1843"/>
        </w:tabs>
        <w:spacing w:before="0" w:beforeAutospacing="0" w:after="0" w:afterAutospacing="0" w:line="520" w:lineRule="exact"/>
        <w:ind w:firstLineChars="200" w:firstLine="632"/>
        <w:jc w:val="both"/>
        <w:rPr>
          <w:rFonts w:ascii="仿宋" w:eastAsia="仿宋" w:hAnsi="仿宋" w:cs="华文仿宋"/>
          <w:sz w:val="32"/>
          <w:szCs w:val="32"/>
        </w:rPr>
      </w:pPr>
      <w:r>
        <w:rPr>
          <w:rFonts w:ascii="仿宋" w:eastAsia="仿宋" w:hAnsi="仿宋" w:cs="华文仿宋" w:hint="eastAsia"/>
          <w:sz w:val="32"/>
          <w:szCs w:val="32"/>
        </w:rPr>
        <w:t>本办法经</w:t>
      </w:r>
      <w:r>
        <w:rPr>
          <w:rFonts w:ascii="仿宋" w:eastAsia="仿宋" w:hAnsi="仿宋"/>
          <w:sz w:val="32"/>
          <w:szCs w:val="32"/>
        </w:rPr>
        <w:t>2019</w:t>
      </w:r>
      <w:r>
        <w:rPr>
          <w:rFonts w:ascii="仿宋" w:eastAsia="仿宋" w:hAnsi="仿宋" w:hint="eastAsia"/>
          <w:sz w:val="32"/>
          <w:szCs w:val="32"/>
        </w:rPr>
        <w:t>年</w:t>
      </w:r>
      <w:r>
        <w:rPr>
          <w:rFonts w:ascii="仿宋" w:eastAsia="仿宋" w:hAnsi="仿宋"/>
          <w:sz w:val="32"/>
          <w:szCs w:val="32"/>
        </w:rPr>
        <w:t>9月5日学校党委常委会</w:t>
      </w:r>
      <w:r>
        <w:rPr>
          <w:rFonts w:ascii="仿宋" w:eastAsia="仿宋" w:hAnsi="仿宋" w:hint="eastAsia"/>
          <w:sz w:val="32"/>
          <w:szCs w:val="32"/>
        </w:rPr>
        <w:t>审议通过</w:t>
      </w:r>
      <w:r>
        <w:rPr>
          <w:rFonts w:ascii="仿宋" w:eastAsia="仿宋" w:hAnsi="仿宋" w:cs="华文仿宋" w:hint="eastAsia"/>
          <w:sz w:val="32"/>
          <w:szCs w:val="32"/>
        </w:rPr>
        <w:t>，自颁布之日起生效，由人力资源处负责解释。原《南京大学教职工考核暂行办法》（南字发</w:t>
      </w:r>
      <w:r>
        <w:rPr>
          <w:rFonts w:ascii="仿宋" w:eastAsia="仿宋" w:hAnsi="仿宋" w:hint="eastAsia"/>
          <w:sz w:val="32"/>
          <w:szCs w:val="32"/>
        </w:rPr>
        <w:t>〔</w:t>
      </w:r>
      <w:r>
        <w:rPr>
          <w:rFonts w:ascii="仿宋" w:eastAsia="仿宋" w:hAnsi="仿宋" w:cs="华文仿宋"/>
          <w:sz w:val="32"/>
          <w:szCs w:val="32"/>
        </w:rPr>
        <w:t>96〕13</w:t>
      </w:r>
      <w:r>
        <w:rPr>
          <w:rFonts w:ascii="仿宋" w:eastAsia="仿宋" w:hAnsi="仿宋" w:cs="华文仿宋" w:hint="eastAsia"/>
          <w:sz w:val="32"/>
          <w:szCs w:val="32"/>
        </w:rPr>
        <w:t>号）即日起作废。</w:t>
      </w:r>
    </w:p>
    <w:p w:rsidR="000A3A29" w:rsidRDefault="00E36402">
      <w:pPr>
        <w:autoSpaceDE w:val="0"/>
        <w:autoSpaceDN w:val="0"/>
        <w:adjustRightInd w:val="0"/>
        <w:snapToGrid w:val="0"/>
        <w:spacing w:line="520" w:lineRule="exact"/>
        <w:rPr>
          <w:rFonts w:ascii="仿宋_GB2312" w:cs="仿宋_GB2312"/>
          <w:color w:val="000000"/>
          <w:kern w:val="0"/>
          <w:szCs w:val="32"/>
        </w:rPr>
      </w:pPr>
      <w:r>
        <w:rPr>
          <w:rFonts w:ascii="仿宋_GB2312" w:cs="仿宋_GB2312" w:hint="eastAsia"/>
          <w:color w:val="000000"/>
          <w:kern w:val="0"/>
          <w:szCs w:val="32"/>
        </w:rPr>
        <w:t xml:space="preserve"> </w:t>
      </w:r>
    </w:p>
    <w:p w:rsidR="000A3A29" w:rsidRDefault="000A3A29">
      <w:pPr>
        <w:autoSpaceDE w:val="0"/>
        <w:autoSpaceDN w:val="0"/>
        <w:adjustRightInd w:val="0"/>
        <w:snapToGrid w:val="0"/>
        <w:spacing w:line="520" w:lineRule="exact"/>
        <w:rPr>
          <w:rFonts w:ascii="仿宋_GB2312" w:cs="仿宋_GB2312"/>
          <w:color w:val="000000"/>
          <w:kern w:val="0"/>
          <w:szCs w:val="32"/>
        </w:rPr>
      </w:pPr>
    </w:p>
    <w:p w:rsidR="000A3A29" w:rsidRDefault="000A3A29">
      <w:pPr>
        <w:spacing w:line="560" w:lineRule="exact"/>
        <w:rPr>
          <w:rFonts w:ascii="仿宋" w:eastAsia="仿宋" w:hAnsi="仿宋"/>
          <w:color w:val="0000FF"/>
          <w:kern w:val="0"/>
          <w:szCs w:val="32"/>
        </w:rPr>
      </w:pPr>
    </w:p>
    <w:p w:rsidR="000A3A29" w:rsidRDefault="000A3A29">
      <w:pPr>
        <w:autoSpaceDE w:val="0"/>
        <w:autoSpaceDN w:val="0"/>
        <w:adjustRightInd w:val="0"/>
        <w:spacing w:line="360" w:lineRule="auto"/>
        <w:rPr>
          <w:rFonts w:ascii="仿宋" w:eastAsia="仿宋" w:hAnsi="仿宋" w:cs="仿宋_GB2312"/>
          <w:color w:val="000000"/>
          <w:kern w:val="0"/>
          <w:szCs w:val="32"/>
        </w:rPr>
      </w:pPr>
    </w:p>
    <w:p w:rsidR="000A3A29" w:rsidRDefault="000A3A29">
      <w:pPr>
        <w:rPr>
          <w:rFonts w:ascii="仿宋" w:eastAsia="仿宋" w:hAnsi="仿宋"/>
        </w:rPr>
      </w:pPr>
    </w:p>
    <w:p w:rsidR="000A3A29" w:rsidRDefault="000A3A29">
      <w:pPr>
        <w:spacing w:line="560" w:lineRule="exact"/>
        <w:rPr>
          <w:rFonts w:ascii="仿宋" w:eastAsia="仿宋" w:hAnsi="仿宋"/>
          <w:color w:val="000000"/>
          <w:kern w:val="0"/>
          <w:szCs w:val="28"/>
        </w:rPr>
      </w:pPr>
    </w:p>
    <w:p w:rsidR="000A3A29" w:rsidRDefault="000A3A29">
      <w:pPr>
        <w:spacing w:line="560" w:lineRule="exact"/>
        <w:rPr>
          <w:rFonts w:ascii="仿宋" w:eastAsia="仿宋" w:hAnsi="仿宋"/>
          <w:color w:val="000000"/>
          <w:kern w:val="0"/>
          <w:szCs w:val="28"/>
        </w:rPr>
      </w:pPr>
    </w:p>
    <w:p w:rsidR="000A3A29" w:rsidRDefault="000A3A29">
      <w:pPr>
        <w:spacing w:line="560" w:lineRule="exact"/>
        <w:rPr>
          <w:rFonts w:ascii="仿宋" w:eastAsia="仿宋" w:hAnsi="仿宋"/>
          <w:color w:val="000000"/>
          <w:kern w:val="0"/>
          <w:szCs w:val="28"/>
        </w:rPr>
      </w:pPr>
    </w:p>
    <w:p w:rsidR="000A3A29" w:rsidRDefault="000A3A29">
      <w:pPr>
        <w:spacing w:line="560" w:lineRule="exact"/>
        <w:rPr>
          <w:rFonts w:ascii="仿宋" w:eastAsia="仿宋" w:hAnsi="仿宋"/>
          <w:color w:val="000000"/>
          <w:kern w:val="0"/>
          <w:szCs w:val="28"/>
        </w:rPr>
      </w:pPr>
    </w:p>
    <w:p w:rsidR="000A3A29" w:rsidRDefault="000A3A29">
      <w:pPr>
        <w:spacing w:line="460" w:lineRule="exact"/>
        <w:rPr>
          <w:rFonts w:ascii="仿宋" w:eastAsia="仿宋" w:hAnsi="仿宋"/>
          <w:color w:val="000000"/>
          <w:kern w:val="0"/>
          <w:szCs w:val="28"/>
        </w:rPr>
      </w:pPr>
    </w:p>
    <w:p w:rsidR="000A3A29" w:rsidRDefault="000A3A29">
      <w:pPr>
        <w:spacing w:line="460" w:lineRule="exact"/>
        <w:rPr>
          <w:rFonts w:ascii="仿宋" w:eastAsia="仿宋" w:hAnsi="仿宋"/>
          <w:color w:val="000000"/>
          <w:kern w:val="0"/>
          <w:szCs w:val="28"/>
        </w:rPr>
      </w:pPr>
    </w:p>
    <w:p w:rsidR="000A3A29" w:rsidRDefault="000A3A29">
      <w:pPr>
        <w:spacing w:line="460" w:lineRule="exact"/>
        <w:rPr>
          <w:rFonts w:ascii="仿宋" w:eastAsia="仿宋" w:hAnsi="仿宋"/>
          <w:color w:val="000000"/>
          <w:kern w:val="0"/>
          <w:szCs w:val="28"/>
        </w:rPr>
      </w:pPr>
    </w:p>
    <w:p w:rsidR="000A3A29" w:rsidRDefault="000A3A29">
      <w:pPr>
        <w:spacing w:line="460" w:lineRule="exact"/>
        <w:rPr>
          <w:rFonts w:ascii="仿宋" w:eastAsia="仿宋" w:hAnsi="仿宋"/>
          <w:color w:val="000000"/>
          <w:kern w:val="0"/>
          <w:szCs w:val="28"/>
        </w:rPr>
      </w:pPr>
    </w:p>
    <w:tbl>
      <w:tblPr>
        <w:tblpPr w:leftFromText="180" w:rightFromText="180" w:vertAnchor="text" w:horzAnchor="margin" w:tblpXSpec="center" w:tblpY="301"/>
        <w:tblW w:w="8323" w:type="dxa"/>
        <w:tblBorders>
          <w:top w:val="single" w:sz="4" w:space="0" w:color="auto"/>
          <w:bottom w:val="single" w:sz="8" w:space="0" w:color="auto"/>
          <w:insideH w:val="single" w:sz="8" w:space="0" w:color="auto"/>
        </w:tblBorders>
        <w:tblLayout w:type="fixed"/>
        <w:tblLook w:val="04A0" w:firstRow="1" w:lastRow="0" w:firstColumn="1" w:lastColumn="0" w:noHBand="0" w:noVBand="1"/>
      </w:tblPr>
      <w:tblGrid>
        <w:gridCol w:w="8323"/>
      </w:tblGrid>
      <w:tr w:rsidR="000A3A29">
        <w:trPr>
          <w:trHeight w:val="440"/>
        </w:trPr>
        <w:tc>
          <w:tcPr>
            <w:tcW w:w="8323" w:type="dxa"/>
            <w:tcBorders>
              <w:top w:val="single" w:sz="8" w:space="0" w:color="auto"/>
              <w:bottom w:val="single" w:sz="8" w:space="0" w:color="auto"/>
            </w:tcBorders>
            <w:vAlign w:val="center"/>
          </w:tcPr>
          <w:p w:rsidR="000A3A29" w:rsidRDefault="00E36402">
            <w:pPr>
              <w:spacing w:line="440" w:lineRule="exact"/>
              <w:ind w:firstLineChars="100" w:firstLine="276"/>
              <w:rPr>
                <w:rFonts w:ascii="仿宋" w:eastAsia="仿宋" w:hAnsi="仿宋"/>
                <w:kern w:val="0"/>
                <w:sz w:val="28"/>
                <w:szCs w:val="28"/>
              </w:rPr>
            </w:pPr>
            <w:r>
              <w:rPr>
                <w:rFonts w:ascii="仿宋" w:eastAsia="仿宋" w:hAnsi="仿宋" w:hint="eastAsia"/>
                <w:kern w:val="0"/>
                <w:sz w:val="28"/>
                <w:szCs w:val="28"/>
              </w:rPr>
              <w:t>南京大学校长办公室</w:t>
            </w:r>
            <w:r>
              <w:rPr>
                <w:rFonts w:ascii="仿宋" w:eastAsia="仿宋" w:hAnsi="仿宋" w:hint="eastAsia"/>
                <w:color w:val="0000FF"/>
                <w:kern w:val="0"/>
                <w:sz w:val="28"/>
                <w:szCs w:val="28"/>
              </w:rPr>
              <w:t xml:space="preserve">                   </w:t>
            </w:r>
            <w:bookmarkStart w:id="6" w:name="印发日期"/>
            <w:r>
              <w:rPr>
                <w:rFonts w:ascii="仿宋" w:eastAsia="仿宋" w:hAnsi="仿宋"/>
                <w:kern w:val="0"/>
                <w:sz w:val="28"/>
                <w:szCs w:val="28"/>
              </w:rPr>
              <w:t>2019年9月24日</w:t>
            </w:r>
            <w:bookmarkEnd w:id="6"/>
            <w:r>
              <w:rPr>
                <w:rFonts w:ascii="仿宋" w:eastAsia="仿宋" w:hAnsi="仿宋" w:hint="eastAsia"/>
                <w:kern w:val="0"/>
                <w:sz w:val="28"/>
                <w:szCs w:val="28"/>
              </w:rPr>
              <w:t>印发</w:t>
            </w:r>
          </w:p>
        </w:tc>
      </w:tr>
    </w:tbl>
    <w:p w:rsidR="000A3A29" w:rsidRDefault="000A3A29">
      <w:pPr>
        <w:spacing w:line="20" w:lineRule="exact"/>
        <w:rPr>
          <w:rFonts w:ascii="方正小标宋简体" w:eastAsia="方正小标宋简体"/>
          <w:sz w:val="44"/>
          <w:szCs w:val="44"/>
        </w:rPr>
      </w:pPr>
    </w:p>
    <w:sectPr w:rsidR="000A3A29">
      <w:headerReference w:type="even" r:id="rId9"/>
      <w:headerReference w:type="default" r:id="rId10"/>
      <w:footerReference w:type="even" r:id="rId11"/>
      <w:footerReference w:type="default" r:id="rId12"/>
      <w:footerReference w:type="first" r:id="rId13"/>
      <w:pgSz w:w="11907" w:h="16840"/>
      <w:pgMar w:top="1440" w:right="1797" w:bottom="1440" w:left="1797"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D77" w:rsidRDefault="008A2D77">
      <w:r>
        <w:separator/>
      </w:r>
    </w:p>
  </w:endnote>
  <w:endnote w:type="continuationSeparator" w:id="0">
    <w:p w:rsidR="008A2D77" w:rsidRDefault="008A2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长城小标宋体">
    <w:altName w:val="宋体"/>
    <w:charset w:val="86"/>
    <w:family w:val="modern"/>
    <w:pitch w:val="default"/>
    <w:sig w:usb0="00000000" w:usb1="0000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29" w:rsidRDefault="00E36402">
    <w:pPr>
      <w:pStyle w:val="a6"/>
      <w:framePr w:wrap="around" w:vAnchor="text" w:hAnchor="margin" w:xAlign="outside" w:y="1"/>
      <w:ind w:firstLineChars="100" w:firstLine="280"/>
      <w:rPr>
        <w:rStyle w:val="aa"/>
        <w:sz w:val="28"/>
      </w:rPr>
    </w:pPr>
    <w:r>
      <w:rPr>
        <w:rStyle w:val="aa"/>
        <w:rFonts w:hint="eastAsia"/>
        <w:sz w:val="28"/>
      </w:rPr>
      <w:t>—</w:t>
    </w:r>
    <w:r>
      <w:rPr>
        <w:rStyle w:val="aa"/>
        <w:rFonts w:ascii="宋体" w:eastAsia="宋体" w:hAnsi="宋体"/>
        <w:sz w:val="28"/>
      </w:rPr>
      <w:fldChar w:fldCharType="begin"/>
    </w:r>
    <w:r>
      <w:rPr>
        <w:rStyle w:val="aa"/>
        <w:rFonts w:ascii="宋体" w:eastAsia="宋体" w:hAnsi="宋体"/>
        <w:sz w:val="28"/>
      </w:rPr>
      <w:instrText xml:space="preserve">PAGE  </w:instrText>
    </w:r>
    <w:r>
      <w:rPr>
        <w:rStyle w:val="aa"/>
        <w:rFonts w:ascii="宋体" w:eastAsia="宋体" w:hAnsi="宋体"/>
        <w:sz w:val="28"/>
      </w:rPr>
      <w:fldChar w:fldCharType="separate"/>
    </w:r>
    <w:r w:rsidR="00946F32">
      <w:rPr>
        <w:rStyle w:val="aa"/>
        <w:rFonts w:ascii="宋体" w:eastAsia="宋体" w:hAnsi="宋体"/>
        <w:noProof/>
        <w:sz w:val="28"/>
      </w:rPr>
      <w:t>2</w:t>
    </w:r>
    <w:r>
      <w:rPr>
        <w:rStyle w:val="aa"/>
        <w:rFonts w:ascii="宋体" w:eastAsia="宋体" w:hAnsi="宋体"/>
        <w:sz w:val="28"/>
      </w:rPr>
      <w:fldChar w:fldCharType="end"/>
    </w:r>
    <w:r>
      <w:rPr>
        <w:rStyle w:val="aa"/>
        <w:rFonts w:hint="eastAsia"/>
        <w:sz w:val="28"/>
      </w:rPr>
      <w:t>—</w:t>
    </w:r>
  </w:p>
  <w:p w:rsidR="000A3A29" w:rsidRDefault="000A3A29">
    <w:pPr>
      <w:pStyle w:val="a6"/>
      <w:framePr w:wrap="around" w:vAnchor="text" w:hAnchor="margin" w:xAlign="outside" w:y="1"/>
      <w:rPr>
        <w:rStyle w:val="aa"/>
      </w:rPr>
    </w:pPr>
  </w:p>
  <w:p w:rsidR="000A3A29" w:rsidRDefault="000A3A29">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29" w:rsidRDefault="00E36402">
    <w:pPr>
      <w:pStyle w:val="a6"/>
      <w:framePr w:wrap="around" w:vAnchor="text" w:hAnchor="page" w:x="9272" w:y="31"/>
      <w:rPr>
        <w:rStyle w:val="aa"/>
        <w:rFonts w:ascii="宋体" w:eastAsia="宋体" w:hAnsi="宋体"/>
        <w:sz w:val="28"/>
      </w:rPr>
    </w:pPr>
    <w:r>
      <w:rPr>
        <w:rStyle w:val="aa"/>
        <w:rFonts w:ascii="宋体" w:eastAsia="宋体" w:hAnsi="宋体" w:hint="eastAsia"/>
        <w:sz w:val="28"/>
      </w:rPr>
      <w:t>—</w:t>
    </w:r>
    <w:r>
      <w:rPr>
        <w:rStyle w:val="aa"/>
        <w:rFonts w:ascii="宋体" w:eastAsia="宋体" w:hAnsi="宋体"/>
        <w:sz w:val="28"/>
      </w:rPr>
      <w:fldChar w:fldCharType="begin"/>
    </w:r>
    <w:r>
      <w:rPr>
        <w:rStyle w:val="aa"/>
        <w:rFonts w:ascii="宋体" w:eastAsia="宋体" w:hAnsi="宋体"/>
        <w:sz w:val="28"/>
      </w:rPr>
      <w:instrText xml:space="preserve">PAGE  </w:instrText>
    </w:r>
    <w:r>
      <w:rPr>
        <w:rStyle w:val="aa"/>
        <w:rFonts w:ascii="宋体" w:eastAsia="宋体" w:hAnsi="宋体"/>
        <w:sz w:val="28"/>
      </w:rPr>
      <w:fldChar w:fldCharType="separate"/>
    </w:r>
    <w:r w:rsidR="00946F32">
      <w:rPr>
        <w:rStyle w:val="aa"/>
        <w:rFonts w:ascii="宋体" w:eastAsia="宋体" w:hAnsi="宋体"/>
        <w:noProof/>
        <w:sz w:val="28"/>
      </w:rPr>
      <w:t>1</w:t>
    </w:r>
    <w:r>
      <w:rPr>
        <w:rStyle w:val="aa"/>
        <w:rFonts w:ascii="宋体" w:eastAsia="宋体" w:hAnsi="宋体"/>
        <w:sz w:val="28"/>
      </w:rPr>
      <w:fldChar w:fldCharType="end"/>
    </w:r>
    <w:r>
      <w:rPr>
        <w:rStyle w:val="aa"/>
        <w:rFonts w:ascii="宋体" w:eastAsia="宋体" w:hAnsi="宋体" w:hint="eastAsia"/>
        <w:sz w:val="28"/>
      </w:rPr>
      <w:t>—</w:t>
    </w:r>
  </w:p>
  <w:p w:rsidR="000A3A29" w:rsidRDefault="000A3A29">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29" w:rsidRDefault="000A3A29">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D77" w:rsidRDefault="008A2D77">
      <w:r>
        <w:separator/>
      </w:r>
    </w:p>
  </w:footnote>
  <w:footnote w:type="continuationSeparator" w:id="0">
    <w:p w:rsidR="008A2D77" w:rsidRDefault="008A2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29" w:rsidRDefault="000A3A29">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29" w:rsidRDefault="000A3A29">
    <w:pPr>
      <w:pStyle w:val="a7"/>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300F2"/>
    <w:multiLevelType w:val="multilevel"/>
    <w:tmpl w:val="350300F2"/>
    <w:lvl w:ilvl="0">
      <w:start w:val="1"/>
      <w:numFmt w:val="chineseCountingThousand"/>
      <w:suff w:val="space"/>
      <w:lvlText w:val="第%1条"/>
      <w:lvlJc w:val="left"/>
      <w:pPr>
        <w:ind w:left="0" w:firstLine="0"/>
      </w:pPr>
      <w:rPr>
        <w:rFonts w:cs="Times New Roman" w:hint="eastAsia"/>
        <w:b w:val="0"/>
        <w:i w:val="0"/>
      </w:rPr>
    </w:lvl>
    <w:lvl w:ilvl="1">
      <w:start w:val="1"/>
      <w:numFmt w:val="lowerLetter"/>
      <w:lvlText w:val="%2)"/>
      <w:lvlJc w:val="left"/>
      <w:pPr>
        <w:ind w:left="1400" w:hanging="420"/>
      </w:pPr>
      <w:rPr>
        <w:rFonts w:cs="Times New Roman" w:hint="eastAsia"/>
      </w:rPr>
    </w:lvl>
    <w:lvl w:ilvl="2">
      <w:start w:val="1"/>
      <w:numFmt w:val="lowerRoman"/>
      <w:lvlText w:val="%3."/>
      <w:lvlJc w:val="right"/>
      <w:pPr>
        <w:ind w:left="1820" w:hanging="420"/>
      </w:pPr>
      <w:rPr>
        <w:rFonts w:cs="Times New Roman" w:hint="eastAsia"/>
      </w:rPr>
    </w:lvl>
    <w:lvl w:ilvl="3">
      <w:start w:val="1"/>
      <w:numFmt w:val="decimal"/>
      <w:lvlText w:val="%4."/>
      <w:lvlJc w:val="left"/>
      <w:pPr>
        <w:ind w:left="2240" w:hanging="420"/>
      </w:pPr>
      <w:rPr>
        <w:rFonts w:cs="Times New Roman" w:hint="eastAsia"/>
      </w:rPr>
    </w:lvl>
    <w:lvl w:ilvl="4">
      <w:start w:val="1"/>
      <w:numFmt w:val="lowerLetter"/>
      <w:lvlText w:val="%5)"/>
      <w:lvlJc w:val="left"/>
      <w:pPr>
        <w:ind w:left="2660" w:hanging="420"/>
      </w:pPr>
      <w:rPr>
        <w:rFonts w:cs="Times New Roman" w:hint="eastAsia"/>
      </w:rPr>
    </w:lvl>
    <w:lvl w:ilvl="5">
      <w:start w:val="1"/>
      <w:numFmt w:val="lowerRoman"/>
      <w:lvlText w:val="%6."/>
      <w:lvlJc w:val="right"/>
      <w:pPr>
        <w:ind w:left="3080" w:hanging="420"/>
      </w:pPr>
      <w:rPr>
        <w:rFonts w:cs="Times New Roman" w:hint="eastAsia"/>
      </w:rPr>
    </w:lvl>
    <w:lvl w:ilvl="6">
      <w:start w:val="1"/>
      <w:numFmt w:val="decimal"/>
      <w:lvlText w:val="%7."/>
      <w:lvlJc w:val="left"/>
      <w:pPr>
        <w:ind w:left="3500" w:hanging="420"/>
      </w:pPr>
      <w:rPr>
        <w:rFonts w:cs="Times New Roman" w:hint="eastAsia"/>
      </w:rPr>
    </w:lvl>
    <w:lvl w:ilvl="7">
      <w:start w:val="1"/>
      <w:numFmt w:val="lowerLetter"/>
      <w:lvlText w:val="%8)"/>
      <w:lvlJc w:val="left"/>
      <w:pPr>
        <w:ind w:left="3920" w:hanging="420"/>
      </w:pPr>
      <w:rPr>
        <w:rFonts w:cs="Times New Roman" w:hint="eastAsia"/>
      </w:rPr>
    </w:lvl>
    <w:lvl w:ilvl="8">
      <w:start w:val="1"/>
      <w:numFmt w:val="lowerRoman"/>
      <w:lvlText w:val="%9."/>
      <w:lvlJc w:val="right"/>
      <w:pPr>
        <w:ind w:left="4340" w:hanging="42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4F7"/>
    <w:rsid w:val="0000197B"/>
    <w:rsid w:val="00003A24"/>
    <w:rsid w:val="000321E9"/>
    <w:rsid w:val="000375EE"/>
    <w:rsid w:val="00037F3C"/>
    <w:rsid w:val="00041F19"/>
    <w:rsid w:val="0005082C"/>
    <w:rsid w:val="00055222"/>
    <w:rsid w:val="00061EF8"/>
    <w:rsid w:val="00065922"/>
    <w:rsid w:val="00065D4A"/>
    <w:rsid w:val="00081FBC"/>
    <w:rsid w:val="000A1CC8"/>
    <w:rsid w:val="000A3A29"/>
    <w:rsid w:val="000A5974"/>
    <w:rsid w:val="000A71E0"/>
    <w:rsid w:val="000C44B1"/>
    <w:rsid w:val="000C710C"/>
    <w:rsid w:val="000D09F2"/>
    <w:rsid w:val="000D2795"/>
    <w:rsid w:val="001004B1"/>
    <w:rsid w:val="00113339"/>
    <w:rsid w:val="00122801"/>
    <w:rsid w:val="001303C2"/>
    <w:rsid w:val="001403CC"/>
    <w:rsid w:val="001539C6"/>
    <w:rsid w:val="00157A5D"/>
    <w:rsid w:val="001858CF"/>
    <w:rsid w:val="00185E36"/>
    <w:rsid w:val="001901E4"/>
    <w:rsid w:val="0019283C"/>
    <w:rsid w:val="00193452"/>
    <w:rsid w:val="00194D5F"/>
    <w:rsid w:val="00195A7A"/>
    <w:rsid w:val="001C05E5"/>
    <w:rsid w:val="001D4740"/>
    <w:rsid w:val="001D4D8B"/>
    <w:rsid w:val="001F390A"/>
    <w:rsid w:val="00202973"/>
    <w:rsid w:val="00226E60"/>
    <w:rsid w:val="00231551"/>
    <w:rsid w:val="002474BE"/>
    <w:rsid w:val="00256F96"/>
    <w:rsid w:val="00261A59"/>
    <w:rsid w:val="00266437"/>
    <w:rsid w:val="00266AC2"/>
    <w:rsid w:val="00267611"/>
    <w:rsid w:val="00283000"/>
    <w:rsid w:val="0028448F"/>
    <w:rsid w:val="002846AA"/>
    <w:rsid w:val="002957B7"/>
    <w:rsid w:val="002B0626"/>
    <w:rsid w:val="002B76F1"/>
    <w:rsid w:val="002C6AE6"/>
    <w:rsid w:val="002E34F6"/>
    <w:rsid w:val="002F44EA"/>
    <w:rsid w:val="00301E82"/>
    <w:rsid w:val="00316BD8"/>
    <w:rsid w:val="0032385B"/>
    <w:rsid w:val="003255D2"/>
    <w:rsid w:val="003257D4"/>
    <w:rsid w:val="003371EC"/>
    <w:rsid w:val="00356018"/>
    <w:rsid w:val="00384A17"/>
    <w:rsid w:val="00387E58"/>
    <w:rsid w:val="00392304"/>
    <w:rsid w:val="00393EE8"/>
    <w:rsid w:val="00397071"/>
    <w:rsid w:val="0039798A"/>
    <w:rsid w:val="003B17DA"/>
    <w:rsid w:val="003B2E95"/>
    <w:rsid w:val="003D2F97"/>
    <w:rsid w:val="003F2F72"/>
    <w:rsid w:val="003F4F3F"/>
    <w:rsid w:val="004079A2"/>
    <w:rsid w:val="00407D21"/>
    <w:rsid w:val="004127C2"/>
    <w:rsid w:val="00434A99"/>
    <w:rsid w:val="00437E1F"/>
    <w:rsid w:val="004520F6"/>
    <w:rsid w:val="004612CF"/>
    <w:rsid w:val="00461888"/>
    <w:rsid w:val="0046300E"/>
    <w:rsid w:val="00471D21"/>
    <w:rsid w:val="00482C62"/>
    <w:rsid w:val="00483285"/>
    <w:rsid w:val="004945A2"/>
    <w:rsid w:val="004B383B"/>
    <w:rsid w:val="004B6D7D"/>
    <w:rsid w:val="004D29A1"/>
    <w:rsid w:val="004E235F"/>
    <w:rsid w:val="004F5A13"/>
    <w:rsid w:val="004F67C8"/>
    <w:rsid w:val="00500A85"/>
    <w:rsid w:val="00501AE2"/>
    <w:rsid w:val="005039C8"/>
    <w:rsid w:val="0050690E"/>
    <w:rsid w:val="00511082"/>
    <w:rsid w:val="00516D07"/>
    <w:rsid w:val="00525C22"/>
    <w:rsid w:val="005319A6"/>
    <w:rsid w:val="00534AE3"/>
    <w:rsid w:val="00534E49"/>
    <w:rsid w:val="00535C02"/>
    <w:rsid w:val="005554B3"/>
    <w:rsid w:val="0055555A"/>
    <w:rsid w:val="0057053D"/>
    <w:rsid w:val="00570C66"/>
    <w:rsid w:val="005921D0"/>
    <w:rsid w:val="005A472C"/>
    <w:rsid w:val="005C19DC"/>
    <w:rsid w:val="005C3C5F"/>
    <w:rsid w:val="005C439B"/>
    <w:rsid w:val="005D3324"/>
    <w:rsid w:val="005F0243"/>
    <w:rsid w:val="005F13D6"/>
    <w:rsid w:val="00607975"/>
    <w:rsid w:val="00627991"/>
    <w:rsid w:val="00641FD7"/>
    <w:rsid w:val="006520F7"/>
    <w:rsid w:val="00667AF8"/>
    <w:rsid w:val="00674686"/>
    <w:rsid w:val="006B5568"/>
    <w:rsid w:val="006E06B6"/>
    <w:rsid w:val="006F7468"/>
    <w:rsid w:val="0070675B"/>
    <w:rsid w:val="00714B74"/>
    <w:rsid w:val="0071761C"/>
    <w:rsid w:val="00723D93"/>
    <w:rsid w:val="00727405"/>
    <w:rsid w:val="0073125B"/>
    <w:rsid w:val="0073456F"/>
    <w:rsid w:val="00746352"/>
    <w:rsid w:val="0079007C"/>
    <w:rsid w:val="007932A2"/>
    <w:rsid w:val="0079395B"/>
    <w:rsid w:val="007A39E1"/>
    <w:rsid w:val="007A3C6E"/>
    <w:rsid w:val="007B5872"/>
    <w:rsid w:val="007E3D13"/>
    <w:rsid w:val="00850DB2"/>
    <w:rsid w:val="00874A4B"/>
    <w:rsid w:val="008A1F80"/>
    <w:rsid w:val="008A2D77"/>
    <w:rsid w:val="008A4034"/>
    <w:rsid w:val="008B6149"/>
    <w:rsid w:val="008E0642"/>
    <w:rsid w:val="008E3BB0"/>
    <w:rsid w:val="008F0683"/>
    <w:rsid w:val="009021ED"/>
    <w:rsid w:val="00914952"/>
    <w:rsid w:val="00916CE6"/>
    <w:rsid w:val="00946333"/>
    <w:rsid w:val="00946F32"/>
    <w:rsid w:val="00951B39"/>
    <w:rsid w:val="0095632E"/>
    <w:rsid w:val="009657A6"/>
    <w:rsid w:val="009948DB"/>
    <w:rsid w:val="009A636D"/>
    <w:rsid w:val="009B183E"/>
    <w:rsid w:val="009B7257"/>
    <w:rsid w:val="009E0F57"/>
    <w:rsid w:val="009E259F"/>
    <w:rsid w:val="009F7A3C"/>
    <w:rsid w:val="00A06B23"/>
    <w:rsid w:val="00A1234D"/>
    <w:rsid w:val="00A139C8"/>
    <w:rsid w:val="00A17972"/>
    <w:rsid w:val="00A21F6C"/>
    <w:rsid w:val="00A513C8"/>
    <w:rsid w:val="00A57F28"/>
    <w:rsid w:val="00A73BF4"/>
    <w:rsid w:val="00A8124C"/>
    <w:rsid w:val="00A82612"/>
    <w:rsid w:val="00AC4DAB"/>
    <w:rsid w:val="00AC6C8E"/>
    <w:rsid w:val="00AD1C41"/>
    <w:rsid w:val="00B05636"/>
    <w:rsid w:val="00B06C54"/>
    <w:rsid w:val="00B25CDB"/>
    <w:rsid w:val="00B53E96"/>
    <w:rsid w:val="00B5491F"/>
    <w:rsid w:val="00B75C2F"/>
    <w:rsid w:val="00B85315"/>
    <w:rsid w:val="00B877D4"/>
    <w:rsid w:val="00B922D2"/>
    <w:rsid w:val="00B96A33"/>
    <w:rsid w:val="00BA005E"/>
    <w:rsid w:val="00BD2FE5"/>
    <w:rsid w:val="00BD679B"/>
    <w:rsid w:val="00BE2590"/>
    <w:rsid w:val="00BE42D1"/>
    <w:rsid w:val="00C13EAD"/>
    <w:rsid w:val="00C411C6"/>
    <w:rsid w:val="00C51A81"/>
    <w:rsid w:val="00C66BA3"/>
    <w:rsid w:val="00C84D03"/>
    <w:rsid w:val="00C976EF"/>
    <w:rsid w:val="00CB46BC"/>
    <w:rsid w:val="00CC73D3"/>
    <w:rsid w:val="00CD0671"/>
    <w:rsid w:val="00CD29FA"/>
    <w:rsid w:val="00CD50A8"/>
    <w:rsid w:val="00CE2830"/>
    <w:rsid w:val="00CE4A19"/>
    <w:rsid w:val="00CE4F57"/>
    <w:rsid w:val="00CE7539"/>
    <w:rsid w:val="00CF1B64"/>
    <w:rsid w:val="00CF7FA9"/>
    <w:rsid w:val="00D0412C"/>
    <w:rsid w:val="00D07726"/>
    <w:rsid w:val="00D101FB"/>
    <w:rsid w:val="00D14B2E"/>
    <w:rsid w:val="00D155B9"/>
    <w:rsid w:val="00D16DCA"/>
    <w:rsid w:val="00D30389"/>
    <w:rsid w:val="00D33232"/>
    <w:rsid w:val="00D333E0"/>
    <w:rsid w:val="00D447FD"/>
    <w:rsid w:val="00D640FB"/>
    <w:rsid w:val="00D67CB1"/>
    <w:rsid w:val="00D83850"/>
    <w:rsid w:val="00D939AB"/>
    <w:rsid w:val="00DA6166"/>
    <w:rsid w:val="00DD5411"/>
    <w:rsid w:val="00DE3687"/>
    <w:rsid w:val="00DE459E"/>
    <w:rsid w:val="00DE740E"/>
    <w:rsid w:val="00DF0192"/>
    <w:rsid w:val="00DF49B0"/>
    <w:rsid w:val="00DF7D5A"/>
    <w:rsid w:val="00E04D9D"/>
    <w:rsid w:val="00E06177"/>
    <w:rsid w:val="00E31B68"/>
    <w:rsid w:val="00E36402"/>
    <w:rsid w:val="00E444DD"/>
    <w:rsid w:val="00E53085"/>
    <w:rsid w:val="00E62012"/>
    <w:rsid w:val="00E65E95"/>
    <w:rsid w:val="00E77D28"/>
    <w:rsid w:val="00E94ED6"/>
    <w:rsid w:val="00EA57BC"/>
    <w:rsid w:val="00EB3BA7"/>
    <w:rsid w:val="00EC0EE1"/>
    <w:rsid w:val="00EC3AF3"/>
    <w:rsid w:val="00EC5596"/>
    <w:rsid w:val="00EE387E"/>
    <w:rsid w:val="00F1667F"/>
    <w:rsid w:val="00F174F7"/>
    <w:rsid w:val="00F36FDD"/>
    <w:rsid w:val="00F63D2C"/>
    <w:rsid w:val="00F63F17"/>
    <w:rsid w:val="00F747C6"/>
    <w:rsid w:val="00F82023"/>
    <w:rsid w:val="00F8278A"/>
    <w:rsid w:val="00F86998"/>
    <w:rsid w:val="00F93460"/>
    <w:rsid w:val="00FA102D"/>
    <w:rsid w:val="00FA2DB5"/>
    <w:rsid w:val="00FB52DE"/>
    <w:rsid w:val="00FD09F6"/>
    <w:rsid w:val="00FD49CE"/>
    <w:rsid w:val="00FE6660"/>
    <w:rsid w:val="00FF55D3"/>
    <w:rsid w:val="00FF729F"/>
    <w:rsid w:val="3EBB128A"/>
    <w:rsid w:val="6235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fillcolor="white">
      <v:fill color="white"/>
    </o:shapedefaults>
    <o:shapelayout v:ext="edit">
      <o:idmap v:ext="edit" data="1"/>
    </o:shapelayout>
  </w:shapeDefaults>
  <w:decimalSymbol w:val="."/>
  <w:listSeparator w:val=","/>
  <w15:docId w15:val="{9D11CA39-18EE-4685-B592-F3A5BD02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firstLine="420"/>
    </w:p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3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79BF0-F722-4A87-9817-4D488EFBC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702</Words>
  <Characters>4004</Characters>
  <Application>Microsoft Office Word</Application>
  <DocSecurity>0</DocSecurity>
  <Lines>33</Lines>
  <Paragraphs>9</Paragraphs>
  <ScaleCrop>false</ScaleCrop>
  <Company>seu</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000001（6位3号数字，顶格）</dc:title>
  <dc:creator>刘奕敏</dc:creator>
  <cp:lastModifiedBy>zhaichun</cp:lastModifiedBy>
  <cp:revision>3</cp:revision>
  <cp:lastPrinted>2013-06-20T03:02:00Z</cp:lastPrinted>
  <dcterms:created xsi:type="dcterms:W3CDTF">2019-09-24T02:28:00Z</dcterms:created>
  <dcterms:modified xsi:type="dcterms:W3CDTF">2019-10-24T00:59:00Z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